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A" w:rsidRPr="005A613A" w:rsidRDefault="005A613A" w:rsidP="005A613A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rStyle w:val="69"/>
        </w:rPr>
      </w:pPr>
      <w:r w:rsidRPr="005A613A">
        <w:rPr>
          <w:rStyle w:val="69"/>
        </w:rPr>
        <w:t xml:space="preserve">ЗАКЛЮЧЕНИЯ </w:t>
      </w:r>
    </w:p>
    <w:p w:rsidR="005A613A" w:rsidRPr="005A613A" w:rsidRDefault="005A613A" w:rsidP="005A613A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rStyle w:val="69"/>
        </w:rPr>
      </w:pPr>
      <w:r w:rsidRPr="005A613A">
        <w:rPr>
          <w:rStyle w:val="69"/>
        </w:rPr>
        <w:t>СПЕЦИАЛИСТОВ ОБРАЗОВАТЕЛЬНОЙ ОРГАНИЗАЦИИ (КОНСИЛИУМА ОБРАЗОВАТЕЛЬНОЙ ОРГАНИЗАЦИИ)</w:t>
      </w:r>
    </w:p>
    <w:p w:rsidR="005A613A" w:rsidRPr="0095584C" w:rsidRDefault="005A613A" w:rsidP="005A613A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b w:val="0"/>
        </w:rPr>
      </w:pP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Родители (законные представители) имеют право обратиться на ПМПК минуя образовательную организацию. Вместе с тем, в целях получения наиболее достоверной и комплексной информации, характеризующей особые образовательные потребности обучающегося, целесообразно предоставление на ПМПК заключения консилиума образовательной организации, которое может передаваться по закрытому каналу информации. Выдача на руки родителям (законным представителям) недопустима из-за возможной неправильной трактовки профессиональных формулировок.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При этом родители (законные представители) должны дать осведомленное и добровольное согласие на обследование ребенка в образовательной организации с применением методик психолого-педагогической диагностики и быть проинформированы о том, что заключения будут представлены в ПМПК лично специалистами. Родитель (законный представитель) имеет право присутствовать при обследовании.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организации).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Подписи специалистов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В заключении (представлении) педагога-психолога указываются фамилия, имя, отчество ребенка; его возраст, дата и время проведения обследования (с...до...), а также присутствие на обследовании третьего лица. Обязательно должны быть перечислены все использованные методики (с указанием их общепринятых названий или же авторов).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Текст патопсихологического заключения пишется в свободной форме. Заключение должно отражать особенности аффективно-личностной сферы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действия, отмечается игра вазомоторов и т.п.). Важно отметить, какие мотивы обладают наибольшей побудительной силой (подчинение взрослому, игровой, соревновательный и т.п.), проявляет ли ребенок способность к волевому </w:t>
      </w:r>
      <w:r>
        <w:lastRenderedPageBreak/>
        <w:t xml:space="preserve">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>
        <w:t>фрустрирующим</w:t>
      </w:r>
      <w:proofErr w:type="spellEnd"/>
      <w:r>
        <w:t xml:space="preserve"> ситуациям, в каких случаях отмечается эмоциональная дезорганизация деятельности, а также какая мотивационная стратегия - достижения успеха или избегания неудачи - доминирует. Заключение следует иллюстрировать подобную информацию конкретными примерами. Хотя состояние эмоциональной сферы и не является основным определяющим для установления варианта АООП, подобная информация чрезвычайно важна для специалистов ПМПК, которые могут сопоставить поведение ребенка в разной обстановке.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Описание динамической стороны психической деятельности включает характеристику темпа, работоспособности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firstLine="700"/>
        <w:jc w:val="both"/>
      </w:pPr>
      <w:r>
        <w:t xml:space="preserve">Описание </w:t>
      </w:r>
      <w:proofErr w:type="spellStart"/>
      <w:r>
        <w:t>интеллектуально-мнестической</w:t>
      </w:r>
      <w:proofErr w:type="spellEnd"/>
      <w:r>
        <w:t xml:space="preserve"> деятельности содержит: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firstLine="567"/>
      </w:pPr>
      <w:r>
        <w:t>- характеристику понимания инструкций,</w:t>
      </w:r>
    </w:p>
    <w:p w:rsidR="005A613A" w:rsidRDefault="005A613A" w:rsidP="005A613A">
      <w:pPr>
        <w:pStyle w:val="a5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ориентировки в заданиях разного уровня сложности,</w:t>
      </w:r>
    </w:p>
    <w:p w:rsidR="005A613A" w:rsidRDefault="005A613A" w:rsidP="005A613A">
      <w:pPr>
        <w:pStyle w:val="a5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удержания цели,</w:t>
      </w:r>
    </w:p>
    <w:p w:rsidR="005A613A" w:rsidRDefault="005A613A" w:rsidP="005A613A">
      <w:pPr>
        <w:pStyle w:val="a5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целенаправленности и осмысленности производимых действий,</w:t>
      </w:r>
    </w:p>
    <w:p w:rsidR="005A613A" w:rsidRDefault="005A613A" w:rsidP="005A613A">
      <w:pPr>
        <w:pStyle w:val="a5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right="20" w:firstLine="567"/>
        <w:jc w:val="both"/>
      </w:pPr>
      <w:r>
        <w:t xml:space="preserve">признаков повышенной конкретности мышления либо искажения процессов обобщения, способности к вербализации своих рассуждений, а также </w:t>
      </w:r>
      <w:proofErr w:type="spellStart"/>
      <w:r>
        <w:t>обучаемости</w:t>
      </w:r>
      <w:proofErr w:type="spellEnd"/>
      <w:r>
        <w:t xml:space="preserve"> (характера и количества </w:t>
      </w:r>
      <w:proofErr w:type="spellStart"/>
      <w:r>
        <w:t>помощи-обучающих</w:t>
      </w:r>
      <w:proofErr w:type="spellEnd"/>
      <w:r>
        <w:t xml:space="preserve"> уроков - при формировании нового для ребенка действия, а также способности к переносу усвоенного действия на сходное задание).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680"/>
        <w:jc w:val="both"/>
      </w:pPr>
      <w:r>
        <w:t xml:space="preserve">Если педагог-психолог использовал стандартизованную оценку интеллекта, описание результата теста дается в этом разделе, также как и некоторых общепринятых в интерпретации результатов (например, кривой запоминания 10 слов, времени, затрачиваемого на отыскивание чисел в таблицах </w:t>
      </w:r>
      <w:proofErr w:type="spellStart"/>
      <w:r>
        <w:t>Шульте</w:t>
      </w:r>
      <w:proofErr w:type="spellEnd"/>
      <w:r>
        <w:t xml:space="preserve"> и т.п.).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rPr>
          <w:rStyle w:val="1"/>
        </w:rPr>
        <w:t>Диагностический вывод</w:t>
      </w:r>
      <w:r>
        <w:t xml:space="preserve"> должен характеризовать степень отставания от возрастной нормы, а также отражать мнение 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</w:t>
      </w:r>
      <w:proofErr w:type="spellStart"/>
      <w:r>
        <w:t>с.З</w:t>
      </w:r>
      <w:proofErr w:type="spellEnd"/>
      <w:r>
        <w:t xml:space="preserve">; принципы диагностики - Дефектология, 2015,№ 6, </w:t>
      </w:r>
      <w:proofErr w:type="spellStart"/>
      <w:r>
        <w:t>с.З</w:t>
      </w:r>
      <w:proofErr w:type="spellEnd"/>
      <w:r>
        <w:t>).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Формулировка диагностического вывода должна быть понятна специалистам 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ПМПК, однако решение об их целесообразности принимается Комиссией. Педагог-психолог ПМПК и </w:t>
      </w:r>
      <w:r>
        <w:lastRenderedPageBreak/>
        <w:t>комиссия в целом могут не разделять мнение коллеги, однако представленное заключение должно быть включено в общий пакет собранных документов и при возникновении конфликтной ситуации (несогласия родителей с выводом) передано в Центральную ПМПК.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Заключение учителя-логопеда также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 xml:space="preserve">В заключении характеризуется состояние просодической и </w:t>
      </w:r>
      <w:proofErr w:type="spellStart"/>
      <w:r>
        <w:t>темпоритмической</w:t>
      </w:r>
      <w:proofErr w:type="spellEnd"/>
      <w:r>
        <w:t xml:space="preserve"> стороны речи, звукопроизношения, слоговой структуры слова (в соотнесении с возможностью повторения ритма),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>
        <w:t>эхолалий</w:t>
      </w:r>
      <w:proofErr w:type="spellEnd"/>
      <w:r>
        <w:t xml:space="preserve">, неологизмов, других речевых феноменов. Оценивается готовность или степень овладения письменной речью. В случае </w:t>
      </w:r>
      <w:proofErr w:type="spellStart"/>
      <w:r>
        <w:t>сформированности</w:t>
      </w:r>
      <w:proofErr w:type="spellEnd"/>
      <w:r>
        <w:t xml:space="preserve"> навыка письма анализируется характер допускаемых ошибок.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Речевое заключение обязательно должно содержать указание на первичность или вторичность (в т.ч. </w:t>
      </w:r>
      <w:proofErr w:type="spellStart"/>
      <w:r>
        <w:t>коморбидность</w:t>
      </w:r>
      <w:proofErr w:type="spellEnd"/>
      <w:r>
        <w:t xml:space="preserve">) речевой патологии. Учитель-логопед обращает внимание на состояние неречевых процессов, в том числе мышления и </w:t>
      </w:r>
      <w:proofErr w:type="spellStart"/>
      <w:r>
        <w:t>обучаемости</w:t>
      </w:r>
      <w:proofErr w:type="spellEnd"/>
      <w:r>
        <w:t>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</w:pPr>
      <w:r>
        <w:t>К формулировкам логопедического диагноза требования те же, что и для патопсихологического заключения.</w:t>
      </w:r>
    </w:p>
    <w:p w:rsidR="005A613A" w:rsidRDefault="005A613A" w:rsidP="005A613A">
      <w:pPr>
        <w:pStyle w:val="a5"/>
        <w:shd w:val="clear" w:color="auto" w:fill="auto"/>
        <w:spacing w:before="0" w:line="240" w:lineRule="auto"/>
        <w:ind w:left="20" w:right="20" w:firstLine="547"/>
        <w:jc w:val="both"/>
        <w:sectPr w:rsidR="005A613A" w:rsidSect="00CD7230">
          <w:footerReference w:type="even" r:id="rId5"/>
          <w:footerReference w:type="default" r:id="rId6"/>
          <w:pgSz w:w="11905" w:h="16837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  <w:r>
        <w:t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учителя-дефектолога)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программе.</w:t>
      </w:r>
    </w:p>
    <w:p w:rsidR="00CC70C3" w:rsidRDefault="00CC70C3"/>
    <w:sectPr w:rsidR="00CC70C3" w:rsidSect="00CC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C" w:rsidRDefault="005A613A">
    <w:pPr>
      <w:pStyle w:val="a4"/>
      <w:framePr w:w="11837" w:h="168" w:wrap="none" w:vAnchor="text" w:hAnchor="page" w:x="35" w:y="-1163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FA14F1">
      <w:rPr>
        <w:rStyle w:val="12pt1"/>
        <w:noProof/>
      </w:rPr>
      <w:t>38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C" w:rsidRDefault="005A613A">
    <w:pPr>
      <w:pStyle w:val="a4"/>
      <w:framePr w:w="11837" w:h="168" w:wrap="none" w:vAnchor="text" w:hAnchor="page" w:x="35" w:y="-1163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5A613A">
      <w:rPr>
        <w:rStyle w:val="12pt1"/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A613A"/>
    <w:rsid w:val="00003C03"/>
    <w:rsid w:val="000279E3"/>
    <w:rsid w:val="000303DF"/>
    <w:rsid w:val="000457FB"/>
    <w:rsid w:val="000664F6"/>
    <w:rsid w:val="00082CF8"/>
    <w:rsid w:val="000B0A46"/>
    <w:rsid w:val="000D2C49"/>
    <w:rsid w:val="00131B2B"/>
    <w:rsid w:val="001325A9"/>
    <w:rsid w:val="001A1031"/>
    <w:rsid w:val="001C1EB4"/>
    <w:rsid w:val="001F1744"/>
    <w:rsid w:val="00214948"/>
    <w:rsid w:val="0025143F"/>
    <w:rsid w:val="0026128A"/>
    <w:rsid w:val="002C6309"/>
    <w:rsid w:val="002E1898"/>
    <w:rsid w:val="003079BD"/>
    <w:rsid w:val="0035787E"/>
    <w:rsid w:val="0040667D"/>
    <w:rsid w:val="004220E0"/>
    <w:rsid w:val="00441487"/>
    <w:rsid w:val="00455CEA"/>
    <w:rsid w:val="00462D6E"/>
    <w:rsid w:val="00492859"/>
    <w:rsid w:val="004A3DEC"/>
    <w:rsid w:val="004C661B"/>
    <w:rsid w:val="004C6648"/>
    <w:rsid w:val="0055300A"/>
    <w:rsid w:val="005A613A"/>
    <w:rsid w:val="005C7A65"/>
    <w:rsid w:val="005F7B67"/>
    <w:rsid w:val="0065096C"/>
    <w:rsid w:val="00671E74"/>
    <w:rsid w:val="006C5313"/>
    <w:rsid w:val="006C7900"/>
    <w:rsid w:val="006E5882"/>
    <w:rsid w:val="00702AC3"/>
    <w:rsid w:val="00705420"/>
    <w:rsid w:val="007201D6"/>
    <w:rsid w:val="0074142A"/>
    <w:rsid w:val="00747050"/>
    <w:rsid w:val="00783D33"/>
    <w:rsid w:val="00790068"/>
    <w:rsid w:val="007A1728"/>
    <w:rsid w:val="007B143A"/>
    <w:rsid w:val="007C08B1"/>
    <w:rsid w:val="007E64D3"/>
    <w:rsid w:val="007F362B"/>
    <w:rsid w:val="008014C0"/>
    <w:rsid w:val="0082295F"/>
    <w:rsid w:val="00835D4D"/>
    <w:rsid w:val="00851833"/>
    <w:rsid w:val="00851BC2"/>
    <w:rsid w:val="00852B0E"/>
    <w:rsid w:val="00853E2A"/>
    <w:rsid w:val="00857063"/>
    <w:rsid w:val="00861CB2"/>
    <w:rsid w:val="00882760"/>
    <w:rsid w:val="00890DEA"/>
    <w:rsid w:val="00893846"/>
    <w:rsid w:val="008B7144"/>
    <w:rsid w:val="008C76F7"/>
    <w:rsid w:val="00916D2A"/>
    <w:rsid w:val="00920E46"/>
    <w:rsid w:val="009741E5"/>
    <w:rsid w:val="009975E6"/>
    <w:rsid w:val="009D0610"/>
    <w:rsid w:val="009E660B"/>
    <w:rsid w:val="009F1ACD"/>
    <w:rsid w:val="009F545E"/>
    <w:rsid w:val="00A30776"/>
    <w:rsid w:val="00A6244A"/>
    <w:rsid w:val="00A91072"/>
    <w:rsid w:val="00AA3DFD"/>
    <w:rsid w:val="00AB1E1B"/>
    <w:rsid w:val="00AB417E"/>
    <w:rsid w:val="00AD6DE9"/>
    <w:rsid w:val="00B450F1"/>
    <w:rsid w:val="00B45EF0"/>
    <w:rsid w:val="00B47FAA"/>
    <w:rsid w:val="00B90F0A"/>
    <w:rsid w:val="00BB7DE0"/>
    <w:rsid w:val="00BD18D2"/>
    <w:rsid w:val="00C561C2"/>
    <w:rsid w:val="00C632A4"/>
    <w:rsid w:val="00C73D98"/>
    <w:rsid w:val="00C85DDE"/>
    <w:rsid w:val="00CA7E32"/>
    <w:rsid w:val="00CC3712"/>
    <w:rsid w:val="00CC70C3"/>
    <w:rsid w:val="00D177B5"/>
    <w:rsid w:val="00D42268"/>
    <w:rsid w:val="00D53741"/>
    <w:rsid w:val="00DB34A2"/>
    <w:rsid w:val="00DF30D6"/>
    <w:rsid w:val="00E4489F"/>
    <w:rsid w:val="00E475EA"/>
    <w:rsid w:val="00E53600"/>
    <w:rsid w:val="00E8155A"/>
    <w:rsid w:val="00EB6C92"/>
    <w:rsid w:val="00EC2FD9"/>
    <w:rsid w:val="00EF32EA"/>
    <w:rsid w:val="00F42C30"/>
    <w:rsid w:val="00F43B6A"/>
    <w:rsid w:val="00F8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5A61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5A613A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5A613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pt1">
    <w:name w:val="Колонтитул + 12 pt1"/>
    <w:basedOn w:val="a3"/>
    <w:uiPriority w:val="99"/>
    <w:rsid w:val="005A613A"/>
    <w:rPr>
      <w:spacing w:val="0"/>
      <w:sz w:val="24"/>
      <w:szCs w:val="24"/>
    </w:rPr>
  </w:style>
  <w:style w:type="character" w:customStyle="1" w:styleId="6">
    <w:name w:val="Заголовок №6_"/>
    <w:basedOn w:val="a0"/>
    <w:link w:val="61"/>
    <w:uiPriority w:val="99"/>
    <w:locked/>
    <w:rsid w:val="005A61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basedOn w:val="a0"/>
    <w:uiPriority w:val="99"/>
    <w:rsid w:val="005A613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Заголовок №69"/>
    <w:basedOn w:val="6"/>
    <w:uiPriority w:val="99"/>
    <w:rsid w:val="005A613A"/>
  </w:style>
  <w:style w:type="paragraph" w:customStyle="1" w:styleId="a4">
    <w:name w:val="Колонтитул"/>
    <w:basedOn w:val="a"/>
    <w:link w:val="a3"/>
    <w:uiPriority w:val="99"/>
    <w:rsid w:val="005A613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Заголовок №61"/>
    <w:basedOn w:val="a"/>
    <w:link w:val="6"/>
    <w:uiPriority w:val="99"/>
    <w:rsid w:val="005A613A"/>
    <w:pPr>
      <w:shd w:val="clear" w:color="auto" w:fill="FFFFFF"/>
      <w:spacing w:line="485" w:lineRule="exact"/>
      <w:ind w:hanging="300"/>
      <w:outlineLvl w:val="5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 ololosha</dc:creator>
  <cp:lastModifiedBy>ololo ololosha</cp:lastModifiedBy>
  <cp:revision>1</cp:revision>
  <dcterms:created xsi:type="dcterms:W3CDTF">2016-06-26T05:30:00Z</dcterms:created>
  <dcterms:modified xsi:type="dcterms:W3CDTF">2016-06-26T05:31:00Z</dcterms:modified>
</cp:coreProperties>
</file>